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CB41" w14:textId="77777777" w:rsidR="00082CE6" w:rsidRPr="00082CE6" w:rsidRDefault="00082CE6" w:rsidP="007777C5">
      <w:pPr>
        <w:jc w:val="both"/>
        <w:rPr>
          <w:rFonts w:ascii="Calibri" w:hAnsi="Calibri" w:cs="Calibri"/>
          <w:b/>
          <w:sz w:val="36"/>
          <w:szCs w:val="36"/>
        </w:rPr>
      </w:pPr>
    </w:p>
    <w:p w14:paraId="33FD8013" w14:textId="065ABAC3" w:rsidR="002239FD" w:rsidRPr="00082CE6" w:rsidRDefault="002239FD" w:rsidP="007777C5">
      <w:pPr>
        <w:jc w:val="both"/>
        <w:rPr>
          <w:rFonts w:ascii="Calibri" w:hAnsi="Calibri" w:cs="Calibri"/>
          <w:b/>
          <w:sz w:val="36"/>
          <w:szCs w:val="36"/>
        </w:rPr>
      </w:pPr>
      <w:r w:rsidRPr="00082CE6">
        <w:rPr>
          <w:rFonts w:ascii="Calibri" w:hAnsi="Calibri" w:cs="Calibri"/>
          <w:b/>
          <w:sz w:val="36"/>
          <w:szCs w:val="36"/>
        </w:rPr>
        <w:t>ACUERDOS ESTRATÉGICOS APROBADOS POR LA COMISIÓN CORUÑA MARÍTIMA PARA LA REDACCIÓN DEL MÁSTER PLAN DEL PROYECTO CORUÑA MARÍTIMA</w:t>
      </w:r>
    </w:p>
    <w:p w14:paraId="15081EF1" w14:textId="77777777" w:rsidR="00082CE6" w:rsidRPr="00082CE6" w:rsidRDefault="00082CE6" w:rsidP="007777C5">
      <w:pPr>
        <w:jc w:val="both"/>
        <w:rPr>
          <w:rFonts w:ascii="Calibri" w:hAnsi="Calibri" w:cs="Calibri"/>
          <w:b/>
          <w:sz w:val="36"/>
          <w:szCs w:val="36"/>
        </w:rPr>
      </w:pPr>
    </w:p>
    <w:p w14:paraId="1E5A2A5F" w14:textId="157B6335" w:rsidR="00BC0890" w:rsidRPr="00082CE6" w:rsidRDefault="002239FD" w:rsidP="002239FD">
      <w:pPr>
        <w:pStyle w:val="Vieta1"/>
        <w:keepNext/>
        <w:numPr>
          <w:ilvl w:val="0"/>
          <w:numId w:val="0"/>
        </w:numPr>
        <w:ind w:left="425"/>
        <w:jc w:val="center"/>
        <w:rPr>
          <w:rFonts w:ascii="Calibri" w:hAnsi="Calibri"/>
          <w:b/>
          <w:color w:val="auto"/>
          <w:sz w:val="32"/>
          <w:szCs w:val="32"/>
        </w:rPr>
      </w:pPr>
      <w:r w:rsidRPr="00082CE6">
        <w:rPr>
          <w:rFonts w:ascii="Calibri" w:hAnsi="Calibri"/>
          <w:b/>
          <w:color w:val="auto"/>
          <w:sz w:val="32"/>
          <w:szCs w:val="32"/>
        </w:rPr>
        <w:t>EN EL ÁMBITO PORTUARIO</w:t>
      </w:r>
    </w:p>
    <w:p w14:paraId="04182E05" w14:textId="3725E069" w:rsidR="00BC0890" w:rsidRPr="00082CE6" w:rsidRDefault="00BC0890" w:rsidP="00BC0890">
      <w:pPr>
        <w:pStyle w:val="Vieta2"/>
        <w:ind w:left="0" w:firstLine="0"/>
        <w:rPr>
          <w:rFonts w:ascii="Calibri" w:hAnsi="Calibri"/>
          <w:color w:val="auto"/>
          <w:sz w:val="28"/>
          <w:szCs w:val="28"/>
        </w:rPr>
      </w:pPr>
      <w:r w:rsidRPr="00082CE6">
        <w:rPr>
          <w:rFonts w:ascii="Calibri" w:hAnsi="Calibri"/>
          <w:b/>
          <w:bCs/>
          <w:color w:val="auto"/>
          <w:sz w:val="28"/>
          <w:szCs w:val="28"/>
        </w:rPr>
        <w:t xml:space="preserve">Mantenimiento de algunos tráficos comerciales en la dársena interior, </w:t>
      </w:r>
      <w:r w:rsidRPr="00082CE6">
        <w:rPr>
          <w:rFonts w:ascii="Calibri" w:hAnsi="Calibri"/>
          <w:bCs/>
          <w:color w:val="auto"/>
          <w:sz w:val="28"/>
          <w:szCs w:val="28"/>
        </w:rPr>
        <w:t>específicamente de mercancía limpia, y prever espacio para posibles futuros tráficos regulares</w:t>
      </w:r>
      <w:r w:rsidRPr="00082CE6">
        <w:rPr>
          <w:rFonts w:ascii="Calibri" w:hAnsi="Calibri"/>
          <w:color w:val="auto"/>
          <w:sz w:val="28"/>
          <w:szCs w:val="28"/>
        </w:rPr>
        <w:t xml:space="preserve"> </w:t>
      </w:r>
      <w:r w:rsidRPr="00082CE6">
        <w:rPr>
          <w:rFonts w:ascii="Calibri" w:hAnsi="Calibri"/>
          <w:bCs/>
          <w:color w:val="auto"/>
          <w:sz w:val="28"/>
          <w:szCs w:val="28"/>
        </w:rPr>
        <w:t>de contenedores, Ro-Ro y Ro-</w:t>
      </w:r>
      <w:proofErr w:type="spellStart"/>
      <w:r w:rsidRPr="00082CE6">
        <w:rPr>
          <w:rFonts w:ascii="Calibri" w:hAnsi="Calibri"/>
          <w:bCs/>
          <w:color w:val="auto"/>
          <w:sz w:val="28"/>
          <w:szCs w:val="28"/>
        </w:rPr>
        <w:t>Pax</w:t>
      </w:r>
      <w:proofErr w:type="spellEnd"/>
      <w:r w:rsidRPr="00082CE6">
        <w:rPr>
          <w:rFonts w:ascii="Calibri" w:hAnsi="Calibri"/>
          <w:color w:val="auto"/>
          <w:sz w:val="28"/>
          <w:szCs w:val="28"/>
        </w:rPr>
        <w:t xml:space="preserve">. Los espacios para acoger estos tráficos se plantearán, preferiblemente, </w:t>
      </w:r>
      <w:r w:rsidRPr="00082CE6">
        <w:rPr>
          <w:rFonts w:ascii="Calibri" w:hAnsi="Calibri"/>
          <w:b/>
          <w:bCs/>
          <w:color w:val="auto"/>
          <w:sz w:val="28"/>
          <w:szCs w:val="28"/>
        </w:rPr>
        <w:t>en el entorno del Centenario</w:t>
      </w:r>
      <w:r w:rsidRPr="00082CE6">
        <w:rPr>
          <w:rFonts w:ascii="Calibri" w:hAnsi="Calibri"/>
          <w:color w:val="auto"/>
          <w:sz w:val="28"/>
          <w:szCs w:val="28"/>
        </w:rPr>
        <w:t>.</w:t>
      </w:r>
    </w:p>
    <w:p w14:paraId="431EF7A2" w14:textId="77777777" w:rsidR="00BC0890" w:rsidRPr="00082CE6" w:rsidRDefault="00BC0890" w:rsidP="00BC0890">
      <w:pPr>
        <w:pStyle w:val="Vieta2"/>
        <w:numPr>
          <w:ilvl w:val="0"/>
          <w:numId w:val="0"/>
        </w:numPr>
        <w:rPr>
          <w:rFonts w:ascii="Calibri" w:hAnsi="Calibri"/>
          <w:color w:val="auto"/>
          <w:sz w:val="28"/>
          <w:szCs w:val="28"/>
        </w:rPr>
      </w:pPr>
    </w:p>
    <w:p w14:paraId="2A85AC81" w14:textId="7B21CB5D" w:rsidR="00BC0890" w:rsidRPr="00082CE6" w:rsidRDefault="00BC0890" w:rsidP="00BC0890">
      <w:pPr>
        <w:pStyle w:val="Vieta2"/>
        <w:ind w:left="0" w:firstLine="0"/>
        <w:rPr>
          <w:rFonts w:ascii="Calibri" w:hAnsi="Calibri"/>
          <w:color w:val="auto"/>
          <w:sz w:val="28"/>
          <w:szCs w:val="28"/>
        </w:rPr>
      </w:pPr>
      <w:r w:rsidRPr="00082CE6">
        <w:rPr>
          <w:rFonts w:ascii="Calibri" w:hAnsi="Calibri"/>
          <w:color w:val="auto"/>
          <w:sz w:val="28"/>
          <w:szCs w:val="28"/>
        </w:rPr>
        <w:t xml:space="preserve">El mantenimiento de estos tráficos requiere </w:t>
      </w:r>
      <w:r w:rsidRPr="00082CE6">
        <w:rPr>
          <w:rFonts w:ascii="Calibri" w:hAnsi="Calibri"/>
          <w:b/>
          <w:bCs/>
          <w:color w:val="auto"/>
          <w:sz w:val="28"/>
          <w:szCs w:val="28"/>
        </w:rPr>
        <w:t>mantener y mejorar la conectividad viaria y ferroviaria del puerto de la dársena interior</w:t>
      </w:r>
      <w:r w:rsidRPr="00082CE6">
        <w:rPr>
          <w:rFonts w:ascii="Calibri" w:hAnsi="Calibri"/>
          <w:color w:val="auto"/>
          <w:sz w:val="28"/>
          <w:szCs w:val="28"/>
        </w:rPr>
        <w:t>, evitando, en la medida de lo posible, interferencias con la movilidad urbana del ámbito: tráfico rodado, transporte público (incluyendo nuevas posibles infraestructuras) y movilidad peatonal y ciclista.</w:t>
      </w:r>
    </w:p>
    <w:p w14:paraId="0C6617F4" w14:textId="77777777" w:rsidR="00BC0890" w:rsidRPr="00082CE6" w:rsidRDefault="00BC0890" w:rsidP="00BC0890">
      <w:pPr>
        <w:pStyle w:val="Vieta2"/>
        <w:numPr>
          <w:ilvl w:val="0"/>
          <w:numId w:val="0"/>
        </w:numPr>
        <w:rPr>
          <w:rFonts w:ascii="Calibri" w:hAnsi="Calibri"/>
          <w:color w:val="auto"/>
          <w:sz w:val="28"/>
          <w:szCs w:val="28"/>
        </w:rPr>
      </w:pPr>
    </w:p>
    <w:p w14:paraId="51EAA950" w14:textId="4A85B417" w:rsidR="00BC0890" w:rsidRPr="00082CE6" w:rsidRDefault="00BC0890" w:rsidP="00BC0890">
      <w:pPr>
        <w:pStyle w:val="Vieta2"/>
        <w:ind w:left="0" w:firstLine="0"/>
        <w:rPr>
          <w:rFonts w:ascii="Calibri" w:hAnsi="Calibri"/>
          <w:color w:val="auto"/>
          <w:sz w:val="28"/>
          <w:szCs w:val="28"/>
        </w:rPr>
      </w:pPr>
      <w:r w:rsidRPr="00082CE6">
        <w:rPr>
          <w:rFonts w:ascii="Calibri" w:hAnsi="Calibri"/>
          <w:b/>
          <w:bCs/>
          <w:color w:val="auto"/>
          <w:sz w:val="28"/>
          <w:szCs w:val="28"/>
        </w:rPr>
        <w:t>El uso pesquero industrial</w:t>
      </w:r>
      <w:r w:rsidRPr="00082CE6">
        <w:rPr>
          <w:rFonts w:ascii="Calibri" w:hAnsi="Calibri"/>
          <w:color w:val="auto"/>
          <w:sz w:val="28"/>
          <w:szCs w:val="28"/>
        </w:rPr>
        <w:t xml:space="preserve"> (venta, procesado y transformación) </w:t>
      </w:r>
      <w:r w:rsidRPr="00082CE6">
        <w:rPr>
          <w:rFonts w:ascii="Calibri" w:hAnsi="Calibri"/>
          <w:b/>
          <w:bCs/>
          <w:color w:val="auto"/>
          <w:sz w:val="28"/>
          <w:szCs w:val="28"/>
        </w:rPr>
        <w:t>debe trasladarse mayoritariamente y siempre que sea posible al entorno Oza-Repsol</w:t>
      </w:r>
      <w:r w:rsidRPr="00082CE6">
        <w:rPr>
          <w:rFonts w:ascii="Calibri" w:hAnsi="Calibri"/>
          <w:color w:val="auto"/>
          <w:sz w:val="28"/>
          <w:szCs w:val="28"/>
        </w:rPr>
        <w:t>, unificando los usos pesqueros en el entorno de Oza ampliando la superficie en tierra y agua hacia las instalaciones de Repsol.</w:t>
      </w:r>
    </w:p>
    <w:p w14:paraId="2456507A" w14:textId="77777777" w:rsidR="00BC0890" w:rsidRPr="00082CE6" w:rsidRDefault="00BC0890" w:rsidP="007777C5">
      <w:pPr>
        <w:jc w:val="both"/>
        <w:rPr>
          <w:rFonts w:ascii="Calibri" w:hAnsi="Calibri" w:cs="Calibri"/>
          <w:sz w:val="26"/>
          <w:szCs w:val="26"/>
        </w:rPr>
      </w:pPr>
    </w:p>
    <w:p w14:paraId="00BC2AF5" w14:textId="78E22E82" w:rsidR="0019476B" w:rsidRPr="00082CE6" w:rsidRDefault="002239FD" w:rsidP="002239FD">
      <w:pPr>
        <w:pStyle w:val="Vieta1"/>
        <w:keepNext/>
        <w:numPr>
          <w:ilvl w:val="0"/>
          <w:numId w:val="0"/>
        </w:numPr>
        <w:ind w:left="425"/>
        <w:jc w:val="center"/>
        <w:rPr>
          <w:rFonts w:ascii="Calibri" w:hAnsi="Calibri"/>
          <w:b/>
          <w:color w:val="auto"/>
          <w:sz w:val="32"/>
          <w:szCs w:val="32"/>
        </w:rPr>
      </w:pPr>
      <w:r w:rsidRPr="00082CE6">
        <w:rPr>
          <w:rFonts w:ascii="Calibri" w:hAnsi="Calibri"/>
          <w:b/>
          <w:color w:val="auto"/>
          <w:sz w:val="32"/>
          <w:szCs w:val="32"/>
        </w:rPr>
        <w:t>EN EL ÁMBITO DE LA MOVILIDAD</w:t>
      </w:r>
    </w:p>
    <w:p w14:paraId="4DC899E6" w14:textId="72E10229" w:rsidR="0019476B" w:rsidRPr="00082CE6" w:rsidRDefault="0019476B" w:rsidP="0019476B">
      <w:pPr>
        <w:pStyle w:val="Vieta2"/>
        <w:ind w:left="0" w:firstLine="0"/>
        <w:rPr>
          <w:rFonts w:ascii="Calibri" w:hAnsi="Calibri"/>
          <w:color w:val="auto"/>
          <w:sz w:val="28"/>
          <w:szCs w:val="28"/>
        </w:rPr>
      </w:pPr>
      <w:r w:rsidRPr="00082CE6">
        <w:rPr>
          <w:rFonts w:ascii="Calibri" w:hAnsi="Calibri"/>
          <w:color w:val="auto"/>
          <w:sz w:val="28"/>
          <w:szCs w:val="28"/>
        </w:rPr>
        <w:t xml:space="preserve">Contemplar las actuaciones necesarias (infraestructuras, reordenación de servicios) para </w:t>
      </w:r>
      <w:r w:rsidRPr="00082CE6">
        <w:rPr>
          <w:rFonts w:ascii="Calibri" w:hAnsi="Calibri"/>
          <w:b/>
          <w:bCs/>
          <w:color w:val="auto"/>
          <w:sz w:val="28"/>
          <w:szCs w:val="28"/>
        </w:rPr>
        <w:t>facilitar el intercambio de modo de transporte metropolitano y urbano</w:t>
      </w:r>
      <w:r w:rsidRPr="00082CE6">
        <w:rPr>
          <w:rFonts w:ascii="Calibri" w:hAnsi="Calibri"/>
          <w:color w:val="auto"/>
          <w:sz w:val="28"/>
          <w:szCs w:val="28"/>
        </w:rPr>
        <w:t>, preferiblemente en el entorno de la plaza de Ourense/comienzo de Linares Rivas.</w:t>
      </w:r>
    </w:p>
    <w:p w14:paraId="3D1CE5C4" w14:textId="77777777" w:rsidR="0019476B" w:rsidRPr="00082CE6" w:rsidRDefault="0019476B" w:rsidP="0019476B">
      <w:pPr>
        <w:pStyle w:val="Vieta2"/>
        <w:numPr>
          <w:ilvl w:val="0"/>
          <w:numId w:val="0"/>
        </w:numPr>
        <w:rPr>
          <w:rFonts w:ascii="Calibri" w:hAnsi="Calibri"/>
          <w:color w:val="auto"/>
          <w:sz w:val="28"/>
          <w:szCs w:val="28"/>
        </w:rPr>
      </w:pPr>
    </w:p>
    <w:p w14:paraId="23C4DC6E" w14:textId="3401FFEB" w:rsidR="0019476B" w:rsidRPr="00082CE6" w:rsidRDefault="0019476B" w:rsidP="0019476B">
      <w:pPr>
        <w:pStyle w:val="Vieta2"/>
        <w:ind w:left="0" w:firstLine="0"/>
        <w:rPr>
          <w:rFonts w:ascii="Calibri" w:hAnsi="Calibri"/>
          <w:color w:val="auto"/>
          <w:sz w:val="28"/>
          <w:szCs w:val="28"/>
        </w:rPr>
      </w:pPr>
      <w:r w:rsidRPr="00082CE6">
        <w:rPr>
          <w:rFonts w:ascii="Calibri" w:hAnsi="Calibri"/>
          <w:b/>
          <w:bCs/>
          <w:color w:val="auto"/>
          <w:sz w:val="28"/>
          <w:szCs w:val="28"/>
        </w:rPr>
        <w:t>Estudiar la posibilidad de implementar un servicio ferroviario de Cercanías en el ámbito del proyecto</w:t>
      </w:r>
      <w:r w:rsidRPr="00082CE6">
        <w:rPr>
          <w:rFonts w:ascii="Calibri" w:hAnsi="Calibri"/>
          <w:color w:val="auto"/>
          <w:sz w:val="28"/>
          <w:szCs w:val="28"/>
        </w:rPr>
        <w:t>, aprovechando la infraestructura existente en el corredor de la Ría del Burgo. En este sentido, deberá analizarse tanto la demanda potencial como las posibles obras necesarias en la línea para garantizar un servicio atractivo.</w:t>
      </w:r>
    </w:p>
    <w:p w14:paraId="4BC3BBC7" w14:textId="77777777" w:rsidR="0019476B" w:rsidRPr="00082CE6" w:rsidRDefault="0019476B" w:rsidP="0019476B">
      <w:pPr>
        <w:pStyle w:val="Vieta2"/>
        <w:numPr>
          <w:ilvl w:val="0"/>
          <w:numId w:val="0"/>
        </w:numPr>
        <w:rPr>
          <w:rFonts w:ascii="Calibri" w:hAnsi="Calibri"/>
          <w:color w:val="auto"/>
          <w:sz w:val="28"/>
          <w:szCs w:val="28"/>
        </w:rPr>
      </w:pPr>
    </w:p>
    <w:p w14:paraId="52493F07" w14:textId="06752824" w:rsidR="0019476B" w:rsidRPr="00082CE6" w:rsidRDefault="0019476B" w:rsidP="0019476B">
      <w:pPr>
        <w:pStyle w:val="Vieta2"/>
        <w:ind w:left="0" w:firstLine="0"/>
        <w:rPr>
          <w:rFonts w:ascii="Calibri" w:hAnsi="Calibri"/>
          <w:color w:val="auto"/>
          <w:sz w:val="28"/>
          <w:szCs w:val="28"/>
        </w:rPr>
      </w:pPr>
      <w:r w:rsidRPr="00082CE6">
        <w:rPr>
          <w:rFonts w:ascii="Calibri" w:hAnsi="Calibri"/>
          <w:b/>
          <w:bCs/>
          <w:color w:val="auto"/>
          <w:sz w:val="28"/>
          <w:szCs w:val="28"/>
        </w:rPr>
        <w:t>Estudiar la movilidad viaria del ámbito</w:t>
      </w:r>
      <w:r w:rsidRPr="00082CE6">
        <w:rPr>
          <w:rFonts w:ascii="Calibri" w:hAnsi="Calibri"/>
          <w:color w:val="auto"/>
          <w:sz w:val="28"/>
          <w:szCs w:val="28"/>
        </w:rPr>
        <w:t xml:space="preserve">, considerando distintas </w:t>
      </w:r>
      <w:r w:rsidRPr="00082CE6">
        <w:rPr>
          <w:rFonts w:ascii="Calibri" w:hAnsi="Calibri"/>
          <w:b/>
          <w:bCs/>
          <w:color w:val="auto"/>
          <w:sz w:val="28"/>
          <w:szCs w:val="28"/>
        </w:rPr>
        <w:t>opciones de soterramiento</w:t>
      </w:r>
      <w:r w:rsidRPr="00082CE6">
        <w:rPr>
          <w:rFonts w:ascii="Calibri" w:hAnsi="Calibri"/>
          <w:color w:val="auto"/>
          <w:sz w:val="28"/>
          <w:szCs w:val="28"/>
        </w:rPr>
        <w:t xml:space="preserve"> parcial del viario estructurante de la zona, facilitando la permeabilidad peatonal hacia el mar.</w:t>
      </w:r>
    </w:p>
    <w:p w14:paraId="7E87686A" w14:textId="77777777" w:rsidR="002239FD" w:rsidRPr="00082CE6" w:rsidRDefault="002239FD" w:rsidP="002239FD">
      <w:pPr>
        <w:pStyle w:val="Prrafodelista"/>
        <w:rPr>
          <w:rFonts w:ascii="Calibri" w:hAnsi="Calibri"/>
          <w:sz w:val="26"/>
          <w:szCs w:val="26"/>
        </w:rPr>
      </w:pPr>
    </w:p>
    <w:p w14:paraId="181F297D" w14:textId="2AE9288B" w:rsidR="002239FD" w:rsidRPr="00082CE6" w:rsidRDefault="002239FD" w:rsidP="002239FD">
      <w:pPr>
        <w:pStyle w:val="Vieta2"/>
        <w:numPr>
          <w:ilvl w:val="0"/>
          <w:numId w:val="0"/>
        </w:numPr>
        <w:jc w:val="center"/>
        <w:rPr>
          <w:rFonts w:ascii="Calibri" w:hAnsi="Calibri"/>
          <w:b/>
          <w:color w:val="auto"/>
          <w:sz w:val="32"/>
          <w:szCs w:val="32"/>
        </w:rPr>
      </w:pPr>
      <w:r w:rsidRPr="00082CE6">
        <w:rPr>
          <w:rFonts w:ascii="Calibri" w:hAnsi="Calibri"/>
          <w:b/>
          <w:color w:val="auto"/>
          <w:sz w:val="32"/>
          <w:szCs w:val="32"/>
        </w:rPr>
        <w:t>EN EL ÁMBITO CIUDADANO</w:t>
      </w:r>
    </w:p>
    <w:p w14:paraId="2E7B4311" w14:textId="77777777" w:rsidR="00A71D49" w:rsidRPr="00082CE6" w:rsidRDefault="00A71D49" w:rsidP="00A71D49">
      <w:pPr>
        <w:pStyle w:val="Vieta2"/>
        <w:ind w:left="0" w:firstLine="0"/>
        <w:rPr>
          <w:rFonts w:ascii="Calibri" w:hAnsi="Calibri"/>
          <w:color w:val="auto"/>
          <w:sz w:val="28"/>
          <w:szCs w:val="28"/>
        </w:rPr>
      </w:pPr>
      <w:r w:rsidRPr="00082CE6">
        <w:rPr>
          <w:rFonts w:ascii="Calibri" w:hAnsi="Calibri"/>
          <w:color w:val="auto"/>
          <w:sz w:val="28"/>
          <w:szCs w:val="28"/>
        </w:rPr>
        <w:t xml:space="preserve">Con objeto de contar con un barrio lleno de actividad, a todas horas, y que tenga los usos de cualquier otro barrio, garantizar la viabilidad económica del proyecto, el Máster Plan contemplará </w:t>
      </w:r>
      <w:r w:rsidRPr="00082CE6">
        <w:rPr>
          <w:rFonts w:ascii="Calibri" w:hAnsi="Calibri"/>
          <w:b/>
          <w:bCs/>
          <w:color w:val="auto"/>
          <w:sz w:val="28"/>
          <w:szCs w:val="28"/>
        </w:rPr>
        <w:t>el desarrollo de usos residenciales en el ámbito</w:t>
      </w:r>
      <w:r w:rsidRPr="00082CE6">
        <w:rPr>
          <w:rFonts w:ascii="Calibri" w:hAnsi="Calibri"/>
          <w:color w:val="auto"/>
          <w:sz w:val="28"/>
          <w:szCs w:val="28"/>
        </w:rPr>
        <w:t xml:space="preserve">, junto con otros posibles usos como el terciario y el dotacional. Estos desarrollos residenciales deberán plantearse, preferiblemente, </w:t>
      </w:r>
      <w:r w:rsidRPr="00082CE6">
        <w:rPr>
          <w:rFonts w:ascii="Calibri" w:hAnsi="Calibri"/>
          <w:b/>
          <w:bCs/>
          <w:color w:val="auto"/>
          <w:sz w:val="28"/>
          <w:szCs w:val="28"/>
        </w:rPr>
        <w:t>en el entorno de San Diego</w:t>
      </w:r>
      <w:r w:rsidRPr="00082CE6">
        <w:rPr>
          <w:rFonts w:ascii="Calibri" w:hAnsi="Calibri"/>
          <w:color w:val="auto"/>
          <w:sz w:val="28"/>
          <w:szCs w:val="28"/>
        </w:rPr>
        <w:t>.</w:t>
      </w:r>
    </w:p>
    <w:p w14:paraId="380F2428" w14:textId="77777777" w:rsidR="00A71D49" w:rsidRPr="00082CE6" w:rsidRDefault="00A71D49" w:rsidP="00A71D49">
      <w:pPr>
        <w:pStyle w:val="Vieta2"/>
        <w:numPr>
          <w:ilvl w:val="0"/>
          <w:numId w:val="0"/>
        </w:numPr>
        <w:rPr>
          <w:rFonts w:ascii="Calibri" w:hAnsi="Calibri"/>
          <w:color w:val="auto"/>
          <w:sz w:val="28"/>
          <w:szCs w:val="28"/>
        </w:rPr>
      </w:pPr>
    </w:p>
    <w:p w14:paraId="49C89CF2" w14:textId="77777777" w:rsidR="00A71D49" w:rsidRPr="00082CE6" w:rsidRDefault="00A71D49" w:rsidP="00A71D49">
      <w:pPr>
        <w:pStyle w:val="Vieta2"/>
        <w:ind w:left="0" w:firstLine="0"/>
        <w:rPr>
          <w:rFonts w:ascii="Calibri" w:hAnsi="Calibri"/>
          <w:color w:val="auto"/>
          <w:sz w:val="28"/>
          <w:szCs w:val="28"/>
        </w:rPr>
      </w:pPr>
      <w:r w:rsidRPr="00082CE6">
        <w:rPr>
          <w:rFonts w:ascii="Calibri" w:hAnsi="Calibri"/>
          <w:color w:val="auto"/>
          <w:sz w:val="28"/>
          <w:szCs w:val="28"/>
        </w:rPr>
        <w:t xml:space="preserve">Entre los usos a implantar, es conveniente considerar </w:t>
      </w:r>
      <w:r w:rsidRPr="00082CE6">
        <w:rPr>
          <w:rFonts w:ascii="Calibri" w:hAnsi="Calibri"/>
          <w:b/>
          <w:bCs/>
          <w:color w:val="auto"/>
          <w:sz w:val="28"/>
          <w:szCs w:val="28"/>
        </w:rPr>
        <w:t>un equipamiento multiusos cubierto de gran capacidad</w:t>
      </w:r>
      <w:r w:rsidRPr="00082CE6">
        <w:rPr>
          <w:rFonts w:ascii="Calibri" w:hAnsi="Calibri"/>
          <w:color w:val="auto"/>
          <w:sz w:val="28"/>
          <w:szCs w:val="28"/>
        </w:rPr>
        <w:t xml:space="preserve"> en San Diego.</w:t>
      </w:r>
    </w:p>
    <w:p w14:paraId="4A863BB2" w14:textId="77777777" w:rsidR="00A71D49" w:rsidRPr="00082CE6" w:rsidRDefault="00A71D49" w:rsidP="00A71D49">
      <w:pPr>
        <w:pStyle w:val="Vieta2"/>
        <w:numPr>
          <w:ilvl w:val="0"/>
          <w:numId w:val="0"/>
        </w:numPr>
        <w:rPr>
          <w:rFonts w:ascii="Calibri" w:hAnsi="Calibri"/>
          <w:color w:val="auto"/>
          <w:sz w:val="28"/>
          <w:szCs w:val="28"/>
        </w:rPr>
      </w:pPr>
    </w:p>
    <w:p w14:paraId="3039CB7A" w14:textId="77777777" w:rsidR="00A71D49" w:rsidRPr="00082CE6" w:rsidRDefault="00A71D49" w:rsidP="00A71D49">
      <w:pPr>
        <w:pStyle w:val="Vieta2"/>
        <w:ind w:left="0" w:firstLine="0"/>
        <w:rPr>
          <w:rFonts w:ascii="Calibri" w:hAnsi="Calibri"/>
          <w:color w:val="auto"/>
          <w:sz w:val="28"/>
          <w:szCs w:val="28"/>
        </w:rPr>
      </w:pPr>
      <w:r w:rsidRPr="00082CE6">
        <w:rPr>
          <w:rFonts w:ascii="Calibri" w:hAnsi="Calibri"/>
          <w:color w:val="auto"/>
          <w:sz w:val="28"/>
          <w:szCs w:val="28"/>
        </w:rPr>
        <w:t xml:space="preserve">Asimismo, entre los usos a implantar, es conveniente considerar el </w:t>
      </w:r>
      <w:r w:rsidRPr="00082CE6">
        <w:rPr>
          <w:rFonts w:ascii="Calibri" w:hAnsi="Calibri"/>
          <w:b/>
          <w:bCs/>
          <w:color w:val="auto"/>
          <w:sz w:val="28"/>
          <w:szCs w:val="28"/>
        </w:rPr>
        <w:t>desarrollo de diferentes equipamientos de ciudad en el entorno Batería y Calvo Sotelo y Linares Rivas</w:t>
      </w:r>
      <w:r w:rsidRPr="00082CE6">
        <w:rPr>
          <w:rFonts w:ascii="Calibri" w:hAnsi="Calibri"/>
          <w:color w:val="auto"/>
          <w:sz w:val="28"/>
          <w:szCs w:val="28"/>
        </w:rPr>
        <w:t>, pudiéndose considerar que uno de ellos sea de escala de ciudad y con carácter icónico o simbólico que caracterice la intervención.</w:t>
      </w:r>
    </w:p>
    <w:p w14:paraId="1AACEDA3" w14:textId="77777777" w:rsidR="00A71D49" w:rsidRPr="00082CE6" w:rsidRDefault="00A71D49" w:rsidP="00A71D49">
      <w:pPr>
        <w:pStyle w:val="Vieta2"/>
        <w:numPr>
          <w:ilvl w:val="0"/>
          <w:numId w:val="0"/>
        </w:numPr>
        <w:rPr>
          <w:rFonts w:ascii="Calibri" w:hAnsi="Calibri"/>
          <w:color w:val="auto"/>
          <w:sz w:val="28"/>
          <w:szCs w:val="28"/>
        </w:rPr>
      </w:pPr>
    </w:p>
    <w:p w14:paraId="343FDFD0" w14:textId="4EF74E58" w:rsidR="00A71D49" w:rsidRPr="00082CE6" w:rsidRDefault="00A71D49" w:rsidP="00A71D49">
      <w:pPr>
        <w:pStyle w:val="Vieta2"/>
        <w:ind w:left="0" w:firstLine="0"/>
        <w:rPr>
          <w:rFonts w:ascii="Calibri" w:hAnsi="Calibri"/>
          <w:color w:val="auto"/>
          <w:sz w:val="28"/>
          <w:szCs w:val="28"/>
        </w:rPr>
      </w:pPr>
      <w:r w:rsidRPr="00082CE6">
        <w:rPr>
          <w:rFonts w:ascii="Calibri" w:hAnsi="Calibri"/>
          <w:color w:val="auto"/>
          <w:sz w:val="28"/>
          <w:szCs w:val="28"/>
        </w:rPr>
        <w:t xml:space="preserve">En este sentido, </w:t>
      </w:r>
      <w:r w:rsidRPr="00082CE6">
        <w:rPr>
          <w:rFonts w:ascii="Calibri" w:hAnsi="Calibri"/>
          <w:b/>
          <w:bCs/>
          <w:color w:val="auto"/>
          <w:sz w:val="28"/>
          <w:szCs w:val="28"/>
        </w:rPr>
        <w:t>el entorno de Batería y Calvo Sotelo podrá desarrollarse a una velocidad distinta del resto del ámbito</w:t>
      </w:r>
      <w:r w:rsidRPr="00082CE6">
        <w:rPr>
          <w:rFonts w:ascii="Calibri" w:hAnsi="Calibri"/>
          <w:color w:val="auto"/>
          <w:sz w:val="28"/>
          <w:szCs w:val="28"/>
        </w:rPr>
        <w:t xml:space="preserve">, dado que está liberado parcialmente de actividad portuaria. Además, existe un consenso entre </w:t>
      </w:r>
      <w:r w:rsidRPr="00082CE6">
        <w:rPr>
          <w:rFonts w:ascii="Calibri" w:hAnsi="Calibri"/>
          <w:color w:val="auto"/>
          <w:sz w:val="28"/>
          <w:szCs w:val="28"/>
          <w:lang w:eastAsia="x-none"/>
        </w:rPr>
        <w:t xml:space="preserve">los organismos que componen la Comisión Coruña Marítima </w:t>
      </w:r>
      <w:r w:rsidRPr="00082CE6">
        <w:rPr>
          <w:rFonts w:ascii="Calibri" w:hAnsi="Calibri"/>
          <w:color w:val="auto"/>
          <w:sz w:val="28"/>
          <w:szCs w:val="28"/>
        </w:rPr>
        <w:t xml:space="preserve">en que los usos en esta zona se desarrollen mediante un </w:t>
      </w:r>
      <w:r w:rsidRPr="00082CE6">
        <w:rPr>
          <w:rFonts w:ascii="Calibri" w:hAnsi="Calibri"/>
          <w:b/>
          <w:bCs/>
          <w:color w:val="auto"/>
          <w:sz w:val="28"/>
          <w:szCs w:val="28"/>
        </w:rPr>
        <w:t>modelo concesional</w:t>
      </w:r>
      <w:r w:rsidRPr="00082CE6">
        <w:rPr>
          <w:rFonts w:ascii="Calibri" w:hAnsi="Calibri"/>
          <w:color w:val="auto"/>
          <w:sz w:val="28"/>
          <w:szCs w:val="28"/>
        </w:rPr>
        <w:t>.</w:t>
      </w:r>
    </w:p>
    <w:p w14:paraId="7C732C78" w14:textId="77777777" w:rsidR="00412555" w:rsidRPr="00082CE6" w:rsidRDefault="00412555" w:rsidP="00412555">
      <w:pPr>
        <w:pStyle w:val="Prrafodelista"/>
        <w:rPr>
          <w:rFonts w:ascii="Calibri" w:hAnsi="Calibri"/>
          <w:sz w:val="26"/>
          <w:szCs w:val="26"/>
        </w:rPr>
      </w:pPr>
    </w:p>
    <w:p w14:paraId="19EFE304" w14:textId="3D06B597" w:rsidR="002239FD" w:rsidRPr="00082CE6" w:rsidRDefault="002239FD" w:rsidP="002239FD">
      <w:pPr>
        <w:pStyle w:val="Prrafodelista"/>
        <w:jc w:val="center"/>
        <w:rPr>
          <w:rFonts w:ascii="Calibri" w:hAnsi="Calibri"/>
          <w:b/>
          <w:sz w:val="32"/>
          <w:szCs w:val="32"/>
        </w:rPr>
      </w:pPr>
      <w:r w:rsidRPr="00082CE6">
        <w:rPr>
          <w:rFonts w:ascii="Calibri" w:hAnsi="Calibri"/>
          <w:b/>
          <w:sz w:val="32"/>
          <w:szCs w:val="32"/>
        </w:rPr>
        <w:t>EN EL ÁMBITO AMBIENTAL</w:t>
      </w:r>
    </w:p>
    <w:p w14:paraId="4DAB46CD" w14:textId="4A6A1431" w:rsidR="00412555" w:rsidRPr="00082CE6" w:rsidRDefault="00412555" w:rsidP="00412555">
      <w:pPr>
        <w:pStyle w:val="Vieta2"/>
        <w:ind w:left="0" w:firstLine="0"/>
        <w:rPr>
          <w:rFonts w:ascii="Calibri" w:hAnsi="Calibri"/>
          <w:color w:val="auto"/>
          <w:sz w:val="28"/>
          <w:szCs w:val="28"/>
        </w:rPr>
      </w:pPr>
      <w:bookmarkStart w:id="0" w:name="_GoBack"/>
      <w:bookmarkEnd w:id="0"/>
      <w:r w:rsidRPr="00082CE6">
        <w:rPr>
          <w:rFonts w:ascii="Calibri" w:hAnsi="Calibri"/>
          <w:color w:val="auto"/>
          <w:sz w:val="28"/>
          <w:szCs w:val="28"/>
        </w:rPr>
        <w:t xml:space="preserve">Considerar la </w:t>
      </w:r>
      <w:r w:rsidRPr="00082CE6">
        <w:rPr>
          <w:rFonts w:ascii="Calibri" w:hAnsi="Calibri"/>
          <w:b/>
          <w:bCs/>
          <w:color w:val="auto"/>
          <w:sz w:val="28"/>
          <w:szCs w:val="28"/>
        </w:rPr>
        <w:t xml:space="preserve">integración del río </w:t>
      </w:r>
      <w:proofErr w:type="spellStart"/>
      <w:r w:rsidRPr="00082CE6">
        <w:rPr>
          <w:rFonts w:ascii="Calibri" w:hAnsi="Calibri"/>
          <w:b/>
          <w:bCs/>
          <w:color w:val="auto"/>
          <w:sz w:val="28"/>
          <w:szCs w:val="28"/>
        </w:rPr>
        <w:t>Monelos</w:t>
      </w:r>
      <w:proofErr w:type="spellEnd"/>
      <w:r w:rsidRPr="00082CE6">
        <w:rPr>
          <w:rFonts w:ascii="Calibri" w:hAnsi="Calibri"/>
          <w:b/>
          <w:bCs/>
          <w:color w:val="auto"/>
          <w:sz w:val="28"/>
          <w:szCs w:val="28"/>
        </w:rPr>
        <w:t xml:space="preserve"> y su desembocadura en el diseño del ámbito</w:t>
      </w:r>
      <w:r w:rsidRPr="00082CE6">
        <w:rPr>
          <w:rFonts w:ascii="Calibri" w:hAnsi="Calibri"/>
          <w:color w:val="auto"/>
          <w:sz w:val="28"/>
          <w:szCs w:val="28"/>
        </w:rPr>
        <w:t>, así como los usos del agua vinculados a su entorno.</w:t>
      </w:r>
    </w:p>
    <w:p w14:paraId="0046D469" w14:textId="77777777" w:rsidR="00440005" w:rsidRPr="00082CE6" w:rsidRDefault="00440005" w:rsidP="00440005">
      <w:pPr>
        <w:pStyle w:val="Vieta2"/>
        <w:numPr>
          <w:ilvl w:val="0"/>
          <w:numId w:val="0"/>
        </w:numPr>
        <w:rPr>
          <w:rFonts w:ascii="Calibri" w:hAnsi="Calibri"/>
          <w:color w:val="auto"/>
          <w:sz w:val="28"/>
          <w:szCs w:val="28"/>
        </w:rPr>
      </w:pPr>
    </w:p>
    <w:p w14:paraId="11177DB4" w14:textId="215D764D" w:rsidR="003E74B2" w:rsidRPr="00082CE6" w:rsidRDefault="00412555" w:rsidP="00082CE6">
      <w:pPr>
        <w:pStyle w:val="Vieta2"/>
        <w:numPr>
          <w:ilvl w:val="0"/>
          <w:numId w:val="0"/>
        </w:numPr>
        <w:rPr>
          <w:rFonts w:ascii="Calibri" w:hAnsi="Calibri"/>
          <w:color w:val="auto"/>
          <w:sz w:val="26"/>
          <w:szCs w:val="26"/>
        </w:rPr>
      </w:pPr>
      <w:r w:rsidRPr="00082CE6">
        <w:rPr>
          <w:rFonts w:ascii="Calibri" w:hAnsi="Calibri"/>
          <w:color w:val="auto"/>
          <w:sz w:val="28"/>
          <w:szCs w:val="28"/>
        </w:rPr>
        <w:t xml:space="preserve">El Máster Plan podrá plantear la </w:t>
      </w:r>
      <w:r w:rsidRPr="00082CE6">
        <w:rPr>
          <w:rFonts w:ascii="Calibri" w:hAnsi="Calibri"/>
          <w:b/>
          <w:bCs/>
          <w:color w:val="auto"/>
          <w:sz w:val="28"/>
          <w:szCs w:val="28"/>
        </w:rPr>
        <w:t>introducción de láminas de agua</w:t>
      </w:r>
      <w:r w:rsidRPr="00082CE6">
        <w:rPr>
          <w:rFonts w:ascii="Calibri" w:hAnsi="Calibri"/>
          <w:color w:val="auto"/>
          <w:sz w:val="28"/>
          <w:szCs w:val="28"/>
        </w:rPr>
        <w:t xml:space="preserve"> en los terrenos hoy rellenados y que dejen de tener uso portuario. Esta posibilidad y la anterior del río </w:t>
      </w:r>
      <w:proofErr w:type="spellStart"/>
      <w:r w:rsidRPr="00082CE6">
        <w:rPr>
          <w:rFonts w:ascii="Calibri" w:hAnsi="Calibri"/>
          <w:color w:val="auto"/>
          <w:sz w:val="28"/>
          <w:szCs w:val="28"/>
        </w:rPr>
        <w:t>Monelos</w:t>
      </w:r>
      <w:proofErr w:type="spellEnd"/>
      <w:r w:rsidRPr="00082CE6">
        <w:rPr>
          <w:rFonts w:ascii="Calibri" w:hAnsi="Calibri"/>
          <w:color w:val="auto"/>
          <w:sz w:val="28"/>
          <w:szCs w:val="28"/>
        </w:rPr>
        <w:t xml:space="preserve"> deberán considerar </w:t>
      </w:r>
      <w:r w:rsidRPr="00082CE6">
        <w:rPr>
          <w:rFonts w:ascii="Calibri" w:hAnsi="Calibri"/>
          <w:b/>
          <w:bCs/>
          <w:color w:val="auto"/>
          <w:sz w:val="28"/>
          <w:szCs w:val="28"/>
        </w:rPr>
        <w:t>el impacto de la actuación en el cambio climático</w:t>
      </w:r>
      <w:r w:rsidRPr="00082CE6">
        <w:rPr>
          <w:rFonts w:ascii="Calibri" w:hAnsi="Calibri"/>
          <w:color w:val="auto"/>
          <w:sz w:val="28"/>
          <w:szCs w:val="28"/>
        </w:rPr>
        <w:t xml:space="preserve"> y los posibles riesgos de inundación consecuentes.</w:t>
      </w:r>
      <w:r w:rsidR="00F74831" w:rsidRPr="00082CE6">
        <w:rPr>
          <w:rFonts w:ascii="Calibri" w:hAnsi="Calibri"/>
          <w:color w:val="auto"/>
          <w:sz w:val="26"/>
          <w:szCs w:val="26"/>
        </w:rPr>
        <w:t xml:space="preserve"> </w:t>
      </w:r>
    </w:p>
    <w:sectPr w:rsidR="003E74B2" w:rsidRPr="00082CE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1BB08" w14:textId="77777777" w:rsidR="00285AC4" w:rsidRDefault="00285AC4" w:rsidP="00052314">
      <w:pPr>
        <w:spacing w:after="0" w:line="240" w:lineRule="auto"/>
      </w:pPr>
      <w:r>
        <w:separator/>
      </w:r>
    </w:p>
  </w:endnote>
  <w:endnote w:type="continuationSeparator" w:id="0">
    <w:p w14:paraId="64FFF1F6" w14:textId="77777777" w:rsidR="00285AC4" w:rsidRDefault="00285AC4" w:rsidP="0005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ourier New"/>
    <w:charset w:val="00"/>
    <w:family w:val="auto"/>
    <w:pitch w:val="variable"/>
    <w:sig w:usb0="00000001" w:usb1="00000000" w:usb2="00000000" w:usb3="00000000" w:csb0="00000093"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C88E3" w14:textId="77777777" w:rsidR="00285AC4" w:rsidRDefault="00285AC4" w:rsidP="00052314">
      <w:pPr>
        <w:spacing w:after="0" w:line="240" w:lineRule="auto"/>
      </w:pPr>
      <w:r>
        <w:separator/>
      </w:r>
    </w:p>
  </w:footnote>
  <w:footnote w:type="continuationSeparator" w:id="0">
    <w:p w14:paraId="24F192D7" w14:textId="77777777" w:rsidR="00285AC4" w:rsidRDefault="00285AC4" w:rsidP="00052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FCAF" w14:textId="41D2F64F" w:rsidR="00052314" w:rsidRDefault="00052314" w:rsidP="00052314">
    <w:pPr>
      <w:pStyle w:val="Encabezado"/>
      <w:jc w:val="center"/>
    </w:pPr>
    <w:r w:rsidRPr="00052314">
      <w:rPr>
        <w:noProof/>
        <w:lang w:eastAsia="es-ES"/>
      </w:rPr>
      <w:drawing>
        <wp:inline distT="0" distB="0" distL="0" distR="0" wp14:anchorId="553FFBA8" wp14:editId="4A4B494A">
          <wp:extent cx="2396084" cy="770894"/>
          <wp:effectExtent l="0" t="0" r="4445" b="0"/>
          <wp:docPr id="933942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4264" name=""/>
                  <pic:cNvPicPr/>
                </pic:nvPicPr>
                <pic:blipFill>
                  <a:blip r:embed="rId1"/>
                  <a:stretch>
                    <a:fillRect/>
                  </a:stretch>
                </pic:blipFill>
                <pic:spPr>
                  <a:xfrm>
                    <a:off x="0" y="0"/>
                    <a:ext cx="2436556" cy="7839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D4A"/>
    <w:multiLevelType w:val="hybridMultilevel"/>
    <w:tmpl w:val="68FC1166"/>
    <w:lvl w:ilvl="0" w:tplc="EBBAEF38">
      <w:start w:val="1"/>
      <w:numFmt w:val="bullet"/>
      <w:pStyle w:val="Vieta1"/>
      <w:lvlText w:val=""/>
      <w:lvlJc w:val="left"/>
      <w:pPr>
        <w:ind w:left="709" w:hanging="709"/>
      </w:pPr>
      <w:rPr>
        <w:rFonts w:ascii="Symbol" w:hAnsi="Symbol" w:hint="default"/>
        <w:color w:val="CB1823"/>
      </w:rPr>
    </w:lvl>
    <w:lvl w:ilvl="1" w:tplc="F0FC8DA2">
      <w:start w:val="1"/>
      <w:numFmt w:val="bullet"/>
      <w:lvlText w:val="o"/>
      <w:lvlJc w:val="left"/>
      <w:pPr>
        <w:ind w:left="938" w:hanging="360"/>
      </w:pPr>
      <w:rPr>
        <w:rFonts w:ascii="Courier New" w:hAnsi="Courier New" w:cs="Courier New" w:hint="default"/>
        <w:color w:val="000000"/>
      </w:rPr>
    </w:lvl>
    <w:lvl w:ilvl="2" w:tplc="0C0A0005">
      <w:start w:val="1"/>
      <w:numFmt w:val="bullet"/>
      <w:lvlText w:val=""/>
      <w:lvlJc w:val="left"/>
      <w:pPr>
        <w:ind w:left="1658" w:hanging="360"/>
      </w:pPr>
      <w:rPr>
        <w:rFonts w:ascii="Wingdings" w:hAnsi="Wingdings" w:hint="default"/>
      </w:rPr>
    </w:lvl>
    <w:lvl w:ilvl="3" w:tplc="0C0A0005">
      <w:start w:val="1"/>
      <w:numFmt w:val="bullet"/>
      <w:lvlText w:val=""/>
      <w:lvlJc w:val="left"/>
      <w:pPr>
        <w:ind w:left="2378" w:hanging="360"/>
      </w:pPr>
      <w:rPr>
        <w:rFonts w:ascii="Wingdings" w:hAnsi="Wingdings" w:hint="default"/>
      </w:rPr>
    </w:lvl>
    <w:lvl w:ilvl="4" w:tplc="0C0A0003">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
    <w:nsid w:val="12F91F2E"/>
    <w:multiLevelType w:val="hybridMultilevel"/>
    <w:tmpl w:val="9FF29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A535923"/>
    <w:multiLevelType w:val="hybridMultilevel"/>
    <w:tmpl w:val="3814E52C"/>
    <w:lvl w:ilvl="0" w:tplc="ECE2434C">
      <w:start w:val="7"/>
      <w:numFmt w:val="bullet"/>
      <w:pStyle w:val="Vieta2"/>
      <w:lvlText w:val="-"/>
      <w:lvlJc w:val="left"/>
      <w:pPr>
        <w:ind w:left="360" w:hanging="360"/>
      </w:pPr>
      <w:rPr>
        <w:rFonts w:ascii="Poppins" w:hAnsi="Poppins" w:cs="Times New Roman" w:hint="default"/>
        <w:b/>
        <w:i w:val="0"/>
        <w:color w:val="1C4488"/>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BB"/>
    <w:rsid w:val="000376CE"/>
    <w:rsid w:val="00044D84"/>
    <w:rsid w:val="00052314"/>
    <w:rsid w:val="00082CE6"/>
    <w:rsid w:val="000979D9"/>
    <w:rsid w:val="000A4937"/>
    <w:rsid w:val="000D204E"/>
    <w:rsid w:val="000E5164"/>
    <w:rsid w:val="00150055"/>
    <w:rsid w:val="00154940"/>
    <w:rsid w:val="00165E2A"/>
    <w:rsid w:val="001800D2"/>
    <w:rsid w:val="0019145B"/>
    <w:rsid w:val="0019476B"/>
    <w:rsid w:val="00214F84"/>
    <w:rsid w:val="002239FD"/>
    <w:rsid w:val="002240F7"/>
    <w:rsid w:val="00257D7E"/>
    <w:rsid w:val="00285AC4"/>
    <w:rsid w:val="00296435"/>
    <w:rsid w:val="002979BF"/>
    <w:rsid w:val="002A5F44"/>
    <w:rsid w:val="002F12DE"/>
    <w:rsid w:val="00307986"/>
    <w:rsid w:val="00323083"/>
    <w:rsid w:val="0035135C"/>
    <w:rsid w:val="0036456E"/>
    <w:rsid w:val="00394673"/>
    <w:rsid w:val="003A6566"/>
    <w:rsid w:val="003C1A34"/>
    <w:rsid w:val="003D5BA6"/>
    <w:rsid w:val="003E74B2"/>
    <w:rsid w:val="003F5282"/>
    <w:rsid w:val="00412555"/>
    <w:rsid w:val="00416987"/>
    <w:rsid w:val="00424510"/>
    <w:rsid w:val="00440005"/>
    <w:rsid w:val="0044324A"/>
    <w:rsid w:val="00460773"/>
    <w:rsid w:val="00494DEA"/>
    <w:rsid w:val="00497135"/>
    <w:rsid w:val="004B7CE6"/>
    <w:rsid w:val="004D7D30"/>
    <w:rsid w:val="004E3B51"/>
    <w:rsid w:val="004F19DC"/>
    <w:rsid w:val="00522DED"/>
    <w:rsid w:val="00542C2B"/>
    <w:rsid w:val="00543A8A"/>
    <w:rsid w:val="005523C9"/>
    <w:rsid w:val="00572201"/>
    <w:rsid w:val="005A0D61"/>
    <w:rsid w:val="005C0070"/>
    <w:rsid w:val="00630ED2"/>
    <w:rsid w:val="00637F69"/>
    <w:rsid w:val="006C35E6"/>
    <w:rsid w:val="006E4069"/>
    <w:rsid w:val="006F0A09"/>
    <w:rsid w:val="006F369C"/>
    <w:rsid w:val="00701D33"/>
    <w:rsid w:val="00734D4F"/>
    <w:rsid w:val="007746AB"/>
    <w:rsid w:val="007777C5"/>
    <w:rsid w:val="007A2AAB"/>
    <w:rsid w:val="007F1A31"/>
    <w:rsid w:val="007F78D4"/>
    <w:rsid w:val="00811E5E"/>
    <w:rsid w:val="008158FC"/>
    <w:rsid w:val="008174D5"/>
    <w:rsid w:val="00857CC9"/>
    <w:rsid w:val="00891072"/>
    <w:rsid w:val="008A4AF1"/>
    <w:rsid w:val="008F1E8F"/>
    <w:rsid w:val="008F67F2"/>
    <w:rsid w:val="009225C4"/>
    <w:rsid w:val="009416FB"/>
    <w:rsid w:val="00975F5C"/>
    <w:rsid w:val="009A047E"/>
    <w:rsid w:val="009C45AE"/>
    <w:rsid w:val="009D4DDC"/>
    <w:rsid w:val="00A038BD"/>
    <w:rsid w:val="00A06980"/>
    <w:rsid w:val="00A26A13"/>
    <w:rsid w:val="00A40BE2"/>
    <w:rsid w:val="00A6243E"/>
    <w:rsid w:val="00A71D49"/>
    <w:rsid w:val="00A944BA"/>
    <w:rsid w:val="00A96353"/>
    <w:rsid w:val="00B140E8"/>
    <w:rsid w:val="00BA0B03"/>
    <w:rsid w:val="00BB1EFB"/>
    <w:rsid w:val="00BC0890"/>
    <w:rsid w:val="00BD33DA"/>
    <w:rsid w:val="00BF14D5"/>
    <w:rsid w:val="00BF50BF"/>
    <w:rsid w:val="00C559BA"/>
    <w:rsid w:val="00C97A68"/>
    <w:rsid w:val="00CD53C5"/>
    <w:rsid w:val="00CF15C9"/>
    <w:rsid w:val="00D1370C"/>
    <w:rsid w:val="00D428A8"/>
    <w:rsid w:val="00D43490"/>
    <w:rsid w:val="00D527A7"/>
    <w:rsid w:val="00D71A36"/>
    <w:rsid w:val="00DA6BBB"/>
    <w:rsid w:val="00DA7396"/>
    <w:rsid w:val="00DB02A0"/>
    <w:rsid w:val="00DC2046"/>
    <w:rsid w:val="00DC66FD"/>
    <w:rsid w:val="00E350DB"/>
    <w:rsid w:val="00E37579"/>
    <w:rsid w:val="00E631FD"/>
    <w:rsid w:val="00E7073E"/>
    <w:rsid w:val="00E737ED"/>
    <w:rsid w:val="00E95191"/>
    <w:rsid w:val="00E957FF"/>
    <w:rsid w:val="00EB2754"/>
    <w:rsid w:val="00EE00CF"/>
    <w:rsid w:val="00EF5421"/>
    <w:rsid w:val="00F11DE6"/>
    <w:rsid w:val="00F40C39"/>
    <w:rsid w:val="00F428F8"/>
    <w:rsid w:val="00F74831"/>
    <w:rsid w:val="00FA5ED6"/>
    <w:rsid w:val="00FA7B02"/>
    <w:rsid w:val="00FC2D24"/>
    <w:rsid w:val="00FC68B4"/>
    <w:rsid w:val="00FD3C08"/>
    <w:rsid w:val="00FE4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A6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6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6B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6B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6B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6B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6B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6B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6B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B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6B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6B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6B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6B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6B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6B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6B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6BBB"/>
    <w:rPr>
      <w:rFonts w:eastAsiaTheme="majorEastAsia" w:cstheme="majorBidi"/>
      <w:color w:val="272727" w:themeColor="text1" w:themeTint="D8"/>
    </w:rPr>
  </w:style>
  <w:style w:type="paragraph" w:styleId="Ttulo">
    <w:name w:val="Title"/>
    <w:basedOn w:val="Normal"/>
    <w:next w:val="Normal"/>
    <w:link w:val="TtuloCar"/>
    <w:uiPriority w:val="10"/>
    <w:qFormat/>
    <w:rsid w:val="00DA6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6B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6B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6B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BBB"/>
    <w:pPr>
      <w:spacing w:before="160"/>
      <w:jc w:val="center"/>
    </w:pPr>
    <w:rPr>
      <w:i/>
      <w:iCs/>
      <w:color w:val="404040" w:themeColor="text1" w:themeTint="BF"/>
    </w:rPr>
  </w:style>
  <w:style w:type="character" w:customStyle="1" w:styleId="CitaCar">
    <w:name w:val="Cita Car"/>
    <w:basedOn w:val="Fuentedeprrafopredeter"/>
    <w:link w:val="Cita"/>
    <w:uiPriority w:val="29"/>
    <w:rsid w:val="00DA6BBB"/>
    <w:rPr>
      <w:i/>
      <w:iCs/>
      <w:color w:val="404040" w:themeColor="text1" w:themeTint="BF"/>
    </w:rPr>
  </w:style>
  <w:style w:type="paragraph" w:styleId="Prrafodelista">
    <w:name w:val="List Paragraph"/>
    <w:basedOn w:val="Normal"/>
    <w:uiPriority w:val="34"/>
    <w:qFormat/>
    <w:rsid w:val="00DA6BBB"/>
    <w:pPr>
      <w:ind w:left="720"/>
      <w:contextualSpacing/>
    </w:pPr>
  </w:style>
  <w:style w:type="character" w:styleId="nfasisintenso">
    <w:name w:val="Intense Emphasis"/>
    <w:basedOn w:val="Fuentedeprrafopredeter"/>
    <w:uiPriority w:val="21"/>
    <w:qFormat/>
    <w:rsid w:val="00DA6BBB"/>
    <w:rPr>
      <w:i/>
      <w:iCs/>
      <w:color w:val="0F4761" w:themeColor="accent1" w:themeShade="BF"/>
    </w:rPr>
  </w:style>
  <w:style w:type="paragraph" w:styleId="Citadestacada">
    <w:name w:val="Intense Quote"/>
    <w:basedOn w:val="Normal"/>
    <w:next w:val="Normal"/>
    <w:link w:val="CitadestacadaCar"/>
    <w:uiPriority w:val="30"/>
    <w:qFormat/>
    <w:rsid w:val="00DA6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BBB"/>
    <w:rPr>
      <w:i/>
      <w:iCs/>
      <w:color w:val="0F4761" w:themeColor="accent1" w:themeShade="BF"/>
    </w:rPr>
  </w:style>
  <w:style w:type="character" w:styleId="Referenciaintensa">
    <w:name w:val="Intense Reference"/>
    <w:basedOn w:val="Fuentedeprrafopredeter"/>
    <w:uiPriority w:val="32"/>
    <w:qFormat/>
    <w:rsid w:val="00DA6BBB"/>
    <w:rPr>
      <w:b/>
      <w:bCs/>
      <w:smallCaps/>
      <w:color w:val="0F4761" w:themeColor="accent1" w:themeShade="BF"/>
      <w:spacing w:val="5"/>
    </w:rPr>
  </w:style>
  <w:style w:type="paragraph" w:styleId="Encabezado">
    <w:name w:val="header"/>
    <w:basedOn w:val="Normal"/>
    <w:link w:val="EncabezadoCar"/>
    <w:uiPriority w:val="99"/>
    <w:unhideWhenUsed/>
    <w:rsid w:val="00052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2314"/>
  </w:style>
  <w:style w:type="paragraph" w:styleId="Piedepgina">
    <w:name w:val="footer"/>
    <w:basedOn w:val="Normal"/>
    <w:link w:val="PiedepginaCar"/>
    <w:uiPriority w:val="99"/>
    <w:unhideWhenUsed/>
    <w:rsid w:val="00052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2314"/>
  </w:style>
  <w:style w:type="paragraph" w:styleId="Textodeglobo">
    <w:name w:val="Balloon Text"/>
    <w:basedOn w:val="Normal"/>
    <w:link w:val="TextodegloboCar"/>
    <w:uiPriority w:val="99"/>
    <w:semiHidden/>
    <w:unhideWhenUsed/>
    <w:rsid w:val="00CD53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3C5"/>
    <w:rPr>
      <w:rFonts w:ascii="Tahoma" w:hAnsi="Tahoma" w:cs="Tahoma"/>
      <w:sz w:val="16"/>
      <w:szCs w:val="16"/>
    </w:rPr>
  </w:style>
  <w:style w:type="paragraph" w:customStyle="1" w:styleId="Vieta1">
    <w:name w:val="Viñeta 1"/>
    <w:basedOn w:val="Prrafodelista"/>
    <w:link w:val="Vieta1Car"/>
    <w:uiPriority w:val="2"/>
    <w:qFormat/>
    <w:rsid w:val="00BC0890"/>
    <w:pPr>
      <w:numPr>
        <w:numId w:val="2"/>
      </w:numPr>
      <w:spacing w:after="100" w:line="240" w:lineRule="auto"/>
      <w:ind w:left="425" w:hanging="425"/>
      <w:contextualSpacing w:val="0"/>
      <w:jc w:val="both"/>
    </w:pPr>
    <w:rPr>
      <w:rFonts w:ascii="Poppins" w:hAnsi="Poppins" w:cs="Calibri"/>
      <w:color w:val="595959"/>
      <w:kern w:val="0"/>
      <w:sz w:val="18"/>
      <w14:ligatures w14:val="none"/>
    </w:rPr>
  </w:style>
  <w:style w:type="character" w:customStyle="1" w:styleId="Vieta1Car">
    <w:name w:val="Viñeta 1 Car"/>
    <w:link w:val="Vieta1"/>
    <w:uiPriority w:val="2"/>
    <w:rsid w:val="00BC0890"/>
    <w:rPr>
      <w:rFonts w:ascii="Poppins" w:hAnsi="Poppins" w:cs="Calibri"/>
      <w:color w:val="595959"/>
      <w:kern w:val="0"/>
      <w:sz w:val="18"/>
      <w14:ligatures w14:val="none"/>
    </w:rPr>
  </w:style>
  <w:style w:type="paragraph" w:customStyle="1" w:styleId="Vieta2">
    <w:name w:val="Viñeta 2"/>
    <w:basedOn w:val="Prrafodelista"/>
    <w:link w:val="Vieta2Car"/>
    <w:uiPriority w:val="2"/>
    <w:qFormat/>
    <w:rsid w:val="00BC0890"/>
    <w:pPr>
      <w:numPr>
        <w:numId w:val="3"/>
      </w:numPr>
      <w:spacing w:after="100" w:line="240" w:lineRule="auto"/>
      <w:ind w:left="850" w:hanging="425"/>
      <w:jc w:val="both"/>
    </w:pPr>
    <w:rPr>
      <w:rFonts w:ascii="Poppins" w:hAnsi="Poppins" w:cs="Calibri"/>
      <w:color w:val="595959"/>
      <w:kern w:val="0"/>
      <w:sz w:val="18"/>
      <w14:ligatures w14:val="none"/>
    </w:rPr>
  </w:style>
  <w:style w:type="character" w:customStyle="1" w:styleId="Vieta2Car">
    <w:name w:val="Viñeta 2 Car"/>
    <w:link w:val="Vieta2"/>
    <w:uiPriority w:val="2"/>
    <w:rsid w:val="00BC0890"/>
    <w:rPr>
      <w:rFonts w:ascii="Poppins" w:hAnsi="Poppins" w:cs="Calibri"/>
      <w:color w:val="595959"/>
      <w:kern w:val="0"/>
      <w:sz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A6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6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6B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6B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6B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6B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6B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6B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6B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B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6B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6B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6B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6B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6B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6B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6B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6BBB"/>
    <w:rPr>
      <w:rFonts w:eastAsiaTheme="majorEastAsia" w:cstheme="majorBidi"/>
      <w:color w:val="272727" w:themeColor="text1" w:themeTint="D8"/>
    </w:rPr>
  </w:style>
  <w:style w:type="paragraph" w:styleId="Ttulo">
    <w:name w:val="Title"/>
    <w:basedOn w:val="Normal"/>
    <w:next w:val="Normal"/>
    <w:link w:val="TtuloCar"/>
    <w:uiPriority w:val="10"/>
    <w:qFormat/>
    <w:rsid w:val="00DA6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6B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6B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6B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BBB"/>
    <w:pPr>
      <w:spacing w:before="160"/>
      <w:jc w:val="center"/>
    </w:pPr>
    <w:rPr>
      <w:i/>
      <w:iCs/>
      <w:color w:val="404040" w:themeColor="text1" w:themeTint="BF"/>
    </w:rPr>
  </w:style>
  <w:style w:type="character" w:customStyle="1" w:styleId="CitaCar">
    <w:name w:val="Cita Car"/>
    <w:basedOn w:val="Fuentedeprrafopredeter"/>
    <w:link w:val="Cita"/>
    <w:uiPriority w:val="29"/>
    <w:rsid w:val="00DA6BBB"/>
    <w:rPr>
      <w:i/>
      <w:iCs/>
      <w:color w:val="404040" w:themeColor="text1" w:themeTint="BF"/>
    </w:rPr>
  </w:style>
  <w:style w:type="paragraph" w:styleId="Prrafodelista">
    <w:name w:val="List Paragraph"/>
    <w:basedOn w:val="Normal"/>
    <w:uiPriority w:val="34"/>
    <w:qFormat/>
    <w:rsid w:val="00DA6BBB"/>
    <w:pPr>
      <w:ind w:left="720"/>
      <w:contextualSpacing/>
    </w:pPr>
  </w:style>
  <w:style w:type="character" w:styleId="nfasisintenso">
    <w:name w:val="Intense Emphasis"/>
    <w:basedOn w:val="Fuentedeprrafopredeter"/>
    <w:uiPriority w:val="21"/>
    <w:qFormat/>
    <w:rsid w:val="00DA6BBB"/>
    <w:rPr>
      <w:i/>
      <w:iCs/>
      <w:color w:val="0F4761" w:themeColor="accent1" w:themeShade="BF"/>
    </w:rPr>
  </w:style>
  <w:style w:type="paragraph" w:styleId="Citadestacada">
    <w:name w:val="Intense Quote"/>
    <w:basedOn w:val="Normal"/>
    <w:next w:val="Normal"/>
    <w:link w:val="CitadestacadaCar"/>
    <w:uiPriority w:val="30"/>
    <w:qFormat/>
    <w:rsid w:val="00DA6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BBB"/>
    <w:rPr>
      <w:i/>
      <w:iCs/>
      <w:color w:val="0F4761" w:themeColor="accent1" w:themeShade="BF"/>
    </w:rPr>
  </w:style>
  <w:style w:type="character" w:styleId="Referenciaintensa">
    <w:name w:val="Intense Reference"/>
    <w:basedOn w:val="Fuentedeprrafopredeter"/>
    <w:uiPriority w:val="32"/>
    <w:qFormat/>
    <w:rsid w:val="00DA6BBB"/>
    <w:rPr>
      <w:b/>
      <w:bCs/>
      <w:smallCaps/>
      <w:color w:val="0F4761" w:themeColor="accent1" w:themeShade="BF"/>
      <w:spacing w:val="5"/>
    </w:rPr>
  </w:style>
  <w:style w:type="paragraph" w:styleId="Encabezado">
    <w:name w:val="header"/>
    <w:basedOn w:val="Normal"/>
    <w:link w:val="EncabezadoCar"/>
    <w:uiPriority w:val="99"/>
    <w:unhideWhenUsed/>
    <w:rsid w:val="00052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2314"/>
  </w:style>
  <w:style w:type="paragraph" w:styleId="Piedepgina">
    <w:name w:val="footer"/>
    <w:basedOn w:val="Normal"/>
    <w:link w:val="PiedepginaCar"/>
    <w:uiPriority w:val="99"/>
    <w:unhideWhenUsed/>
    <w:rsid w:val="00052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2314"/>
  </w:style>
  <w:style w:type="paragraph" w:styleId="Textodeglobo">
    <w:name w:val="Balloon Text"/>
    <w:basedOn w:val="Normal"/>
    <w:link w:val="TextodegloboCar"/>
    <w:uiPriority w:val="99"/>
    <w:semiHidden/>
    <w:unhideWhenUsed/>
    <w:rsid w:val="00CD53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3C5"/>
    <w:rPr>
      <w:rFonts w:ascii="Tahoma" w:hAnsi="Tahoma" w:cs="Tahoma"/>
      <w:sz w:val="16"/>
      <w:szCs w:val="16"/>
    </w:rPr>
  </w:style>
  <w:style w:type="paragraph" w:customStyle="1" w:styleId="Vieta1">
    <w:name w:val="Viñeta 1"/>
    <w:basedOn w:val="Prrafodelista"/>
    <w:link w:val="Vieta1Car"/>
    <w:uiPriority w:val="2"/>
    <w:qFormat/>
    <w:rsid w:val="00BC0890"/>
    <w:pPr>
      <w:numPr>
        <w:numId w:val="2"/>
      </w:numPr>
      <w:spacing w:after="100" w:line="240" w:lineRule="auto"/>
      <w:ind w:left="425" w:hanging="425"/>
      <w:contextualSpacing w:val="0"/>
      <w:jc w:val="both"/>
    </w:pPr>
    <w:rPr>
      <w:rFonts w:ascii="Poppins" w:hAnsi="Poppins" w:cs="Calibri"/>
      <w:color w:val="595959"/>
      <w:kern w:val="0"/>
      <w:sz w:val="18"/>
      <w14:ligatures w14:val="none"/>
    </w:rPr>
  </w:style>
  <w:style w:type="character" w:customStyle="1" w:styleId="Vieta1Car">
    <w:name w:val="Viñeta 1 Car"/>
    <w:link w:val="Vieta1"/>
    <w:uiPriority w:val="2"/>
    <w:rsid w:val="00BC0890"/>
    <w:rPr>
      <w:rFonts w:ascii="Poppins" w:hAnsi="Poppins" w:cs="Calibri"/>
      <w:color w:val="595959"/>
      <w:kern w:val="0"/>
      <w:sz w:val="18"/>
      <w14:ligatures w14:val="none"/>
    </w:rPr>
  </w:style>
  <w:style w:type="paragraph" w:customStyle="1" w:styleId="Vieta2">
    <w:name w:val="Viñeta 2"/>
    <w:basedOn w:val="Prrafodelista"/>
    <w:link w:val="Vieta2Car"/>
    <w:uiPriority w:val="2"/>
    <w:qFormat/>
    <w:rsid w:val="00BC0890"/>
    <w:pPr>
      <w:numPr>
        <w:numId w:val="3"/>
      </w:numPr>
      <w:spacing w:after="100" w:line="240" w:lineRule="auto"/>
      <w:ind w:left="850" w:hanging="425"/>
      <w:jc w:val="both"/>
    </w:pPr>
    <w:rPr>
      <w:rFonts w:ascii="Poppins" w:hAnsi="Poppins" w:cs="Calibri"/>
      <w:color w:val="595959"/>
      <w:kern w:val="0"/>
      <w:sz w:val="18"/>
      <w14:ligatures w14:val="none"/>
    </w:rPr>
  </w:style>
  <w:style w:type="character" w:customStyle="1" w:styleId="Vieta2Car">
    <w:name w:val="Viñeta 2 Car"/>
    <w:link w:val="Vieta2"/>
    <w:uiPriority w:val="2"/>
    <w:rsid w:val="00BC0890"/>
    <w:rPr>
      <w:rFonts w:ascii="Poppins" w:hAnsi="Poppins" w:cs="Calibri"/>
      <w:color w:val="595959"/>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APAC</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Eiroa Millares, Eduardo</dc:creator>
  <cp:lastModifiedBy>Ramón Castro González</cp:lastModifiedBy>
  <cp:revision>2</cp:revision>
  <cp:lastPrinted>2025-01-23T11:12:00Z</cp:lastPrinted>
  <dcterms:created xsi:type="dcterms:W3CDTF">2025-01-23T11:12:00Z</dcterms:created>
  <dcterms:modified xsi:type="dcterms:W3CDTF">2025-01-23T11:12:00Z</dcterms:modified>
</cp:coreProperties>
</file>